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cs="宋体" w:asciiTheme="minorEastAsia" w:hAnsiTheme="minorEastAsia" w:eastAsiaTheme="minorEastAsia"/>
          <w:sz w:val="40"/>
          <w:szCs w:val="24"/>
        </w:rPr>
      </w:pPr>
      <w:bookmarkStart w:id="0" w:name="_Toc5217101"/>
      <w:bookmarkStart w:id="1" w:name="_Toc5217221"/>
      <w:bookmarkStart w:id="2" w:name="_Toc5217033"/>
      <w:bookmarkStart w:id="3" w:name="_Toc5217055"/>
      <w:bookmarkStart w:id="4" w:name="_Toc31950_WPSOffice_Level2"/>
      <w:r>
        <w:rPr>
          <w:rFonts w:hint="eastAsia" w:cs="宋体" w:asciiTheme="minorEastAsia" w:hAnsiTheme="minorEastAsia" w:eastAsiaTheme="minorEastAsia"/>
          <w:sz w:val="40"/>
          <w:szCs w:val="24"/>
        </w:rPr>
        <w:t>评分办法</w:t>
      </w:r>
      <w:bookmarkEnd w:id="0"/>
      <w:bookmarkEnd w:id="1"/>
      <w:bookmarkEnd w:id="2"/>
      <w:bookmarkEnd w:id="3"/>
      <w:bookmarkEnd w:id="4"/>
    </w:p>
    <w:p>
      <w:pPr>
        <w:ind w:firstLine="560" w:firstLineChars="200"/>
        <w:rPr>
          <w:rFonts w:hint="eastAsia" w:ascii="仿宋" w:hAnsi="仿宋" w:eastAsia="仿宋" w:cs="宋体"/>
          <w:sz w:val="28"/>
        </w:rPr>
      </w:pPr>
      <w:r>
        <w:rPr>
          <w:rFonts w:hint="eastAsia" w:ascii="仿宋" w:hAnsi="仿宋" w:eastAsia="仿宋" w:cs="宋体"/>
          <w:sz w:val="28"/>
        </w:rPr>
        <w:t>本次评标采用百分制，其中商务分15分，技术分85分，综合得分=商务分+技术分平均值。</w:t>
      </w:r>
    </w:p>
    <w:p>
      <w:pPr>
        <w:ind w:firstLine="562" w:firstLineChars="200"/>
        <w:rPr>
          <w:rFonts w:hint="eastAsia" w:ascii="仿宋" w:hAnsi="仿宋" w:eastAsia="仿宋" w:cs="宋体"/>
          <w:b/>
          <w:sz w:val="28"/>
        </w:rPr>
      </w:pPr>
      <w:r>
        <w:rPr>
          <w:rFonts w:hint="eastAsia" w:ascii="仿宋" w:hAnsi="仿宋" w:eastAsia="仿宋" w:cs="宋体"/>
          <w:b/>
          <w:sz w:val="28"/>
        </w:rPr>
        <w:t>1、商务分（满分15分）</w:t>
      </w:r>
    </w:p>
    <w:p>
      <w:pPr>
        <w:rPr>
          <w:rFonts w:hint="eastAsia" w:ascii="仿宋" w:hAnsi="仿宋" w:eastAsia="仿宋" w:cs="宋体"/>
          <w:sz w:val="28"/>
        </w:rPr>
      </w:pPr>
      <w:r>
        <w:rPr>
          <w:rFonts w:hint="eastAsia" w:ascii="仿宋" w:hAnsi="仿宋" w:eastAsia="仿宋" w:cs="宋体"/>
          <w:sz w:val="28"/>
        </w:rPr>
        <w:t>评分办法：经评审满足招标文件要求且投标价格最低的投标报价为评标基准价，其价格分为满分；其他投标人的价格分按照下列公式计算：投标标价得分=（评标基准价/投标标价）×15（计算结果保留小数后2位）。</w:t>
      </w:r>
    </w:p>
    <w:p>
      <w:pPr>
        <w:ind w:firstLine="562" w:firstLineChars="200"/>
        <w:rPr>
          <w:rFonts w:hint="eastAsia" w:ascii="仿宋" w:hAnsi="仿宋" w:eastAsia="仿宋" w:cs="宋体"/>
          <w:b/>
          <w:sz w:val="28"/>
        </w:rPr>
      </w:pPr>
      <w:r>
        <w:rPr>
          <w:rFonts w:hint="eastAsia" w:ascii="仿宋" w:hAnsi="仿宋" w:eastAsia="仿宋" w:cs="宋体"/>
          <w:b/>
          <w:sz w:val="28"/>
        </w:rPr>
        <w:t>2、技术分（满分85）</w:t>
      </w:r>
    </w:p>
    <w:p>
      <w:pPr>
        <w:ind w:firstLine="560" w:firstLineChars="200"/>
        <w:rPr>
          <w:rFonts w:hint="eastAsia" w:ascii="仿宋" w:hAnsi="仿宋" w:eastAsia="仿宋" w:cs="宋体"/>
          <w:sz w:val="28"/>
        </w:rPr>
      </w:pPr>
      <w:r>
        <w:rPr>
          <w:rFonts w:hint="eastAsia" w:ascii="仿宋" w:hAnsi="仿宋" w:eastAsia="仿宋" w:cs="宋体"/>
          <w:sz w:val="28"/>
        </w:rPr>
        <w:t>评标细则详见下表：</w:t>
      </w:r>
    </w:p>
    <w:tbl>
      <w:tblPr>
        <w:tblStyle w:val="6"/>
        <w:tblW w:w="90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696"/>
        <w:gridCol w:w="7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817" w:type="dxa"/>
            <w:vAlign w:val="center"/>
          </w:tcPr>
          <w:p>
            <w:pPr>
              <w:rPr>
                <w:rFonts w:hint="eastAsia" w:ascii="仿宋" w:hAnsi="仿宋" w:eastAsia="仿宋" w:cs="宋体"/>
                <w:sz w:val="24"/>
              </w:rPr>
            </w:pPr>
            <w:r>
              <w:rPr>
                <w:rFonts w:hint="eastAsia" w:ascii="仿宋" w:hAnsi="仿宋" w:eastAsia="仿宋" w:cs="宋体"/>
                <w:sz w:val="24"/>
              </w:rPr>
              <w:t>项目</w:t>
            </w:r>
          </w:p>
        </w:tc>
        <w:tc>
          <w:tcPr>
            <w:tcW w:w="696" w:type="dxa"/>
            <w:vAlign w:val="center"/>
          </w:tcPr>
          <w:p>
            <w:pPr>
              <w:rPr>
                <w:rFonts w:hint="eastAsia" w:ascii="仿宋" w:hAnsi="仿宋" w:eastAsia="仿宋" w:cs="宋体"/>
                <w:sz w:val="24"/>
              </w:rPr>
            </w:pPr>
            <w:r>
              <w:rPr>
                <w:rFonts w:hint="eastAsia" w:ascii="仿宋" w:hAnsi="仿宋" w:eastAsia="仿宋" w:cs="宋体"/>
                <w:sz w:val="24"/>
              </w:rPr>
              <w:t>分值</w:t>
            </w:r>
          </w:p>
        </w:tc>
        <w:tc>
          <w:tcPr>
            <w:tcW w:w="7512" w:type="dxa"/>
            <w:vAlign w:val="center"/>
          </w:tcPr>
          <w:p>
            <w:pPr>
              <w:rPr>
                <w:rFonts w:hint="eastAsia" w:ascii="仿宋" w:hAnsi="仿宋" w:eastAsia="仿宋" w:cs="宋体"/>
                <w:sz w:val="24"/>
              </w:rPr>
            </w:pPr>
            <w:r>
              <w:rPr>
                <w:rFonts w:hint="eastAsia" w:ascii="仿宋" w:hAnsi="仿宋" w:eastAsia="仿宋" w:cs="宋体"/>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1" w:hRule="exact"/>
          <w:jc w:val="center"/>
        </w:trPr>
        <w:tc>
          <w:tcPr>
            <w:tcW w:w="817" w:type="dxa"/>
            <w:vAlign w:val="center"/>
          </w:tcPr>
          <w:p>
            <w:pPr>
              <w:rPr>
                <w:rFonts w:hint="eastAsia" w:ascii="仿宋" w:hAnsi="仿宋" w:eastAsia="仿宋" w:cs="宋体"/>
                <w:kern w:val="2"/>
                <w:sz w:val="24"/>
                <w:szCs w:val="24"/>
                <w:highlight w:val="yellow"/>
                <w:lang w:val="en-US" w:eastAsia="zh-CN" w:bidi="ar-SA"/>
              </w:rPr>
            </w:pPr>
            <w:r>
              <w:rPr>
                <w:rFonts w:hint="eastAsia" w:ascii="仿宋" w:hAnsi="仿宋" w:eastAsia="仿宋" w:cs="宋体"/>
                <w:sz w:val="24"/>
                <w:highlight w:val="none"/>
              </w:rPr>
              <w:t>承保经验</w:t>
            </w:r>
          </w:p>
        </w:tc>
        <w:tc>
          <w:tcPr>
            <w:tcW w:w="696" w:type="dxa"/>
            <w:vAlign w:val="center"/>
          </w:tcPr>
          <w:p>
            <w:pPr>
              <w:rPr>
                <w:rFonts w:hint="eastAsia" w:ascii="仿宋" w:hAnsi="仿宋" w:eastAsia="仿宋" w:cs="宋体"/>
                <w:kern w:val="2"/>
                <w:sz w:val="24"/>
                <w:szCs w:val="24"/>
                <w:lang w:val="en-US" w:eastAsia="zh-CN" w:bidi="ar-SA"/>
              </w:rPr>
            </w:pPr>
            <w:r>
              <w:rPr>
                <w:rFonts w:hint="eastAsia" w:ascii="仿宋" w:hAnsi="仿宋" w:eastAsia="仿宋" w:cs="宋体"/>
                <w:sz w:val="24"/>
              </w:rPr>
              <w:t>20分</w:t>
            </w:r>
          </w:p>
        </w:tc>
        <w:tc>
          <w:tcPr>
            <w:tcW w:w="7512" w:type="dxa"/>
            <w:vAlign w:val="center"/>
          </w:tcPr>
          <w:p>
            <w:pPr>
              <w:ind w:firstLine="480" w:firstLineChars="200"/>
              <w:rPr>
                <w:rFonts w:hint="eastAsia" w:ascii="仿宋" w:hAnsi="仿宋" w:eastAsia="仿宋" w:cs="宋体"/>
                <w:sz w:val="24"/>
              </w:rPr>
            </w:pPr>
            <w:r>
              <w:rPr>
                <w:rFonts w:hint="eastAsia" w:ascii="仿宋" w:hAnsi="仿宋" w:eastAsia="仿宋" w:cs="宋体"/>
                <w:sz w:val="24"/>
                <w:lang w:eastAsia="zh-CN"/>
              </w:rPr>
              <w:t>近三</w:t>
            </w:r>
            <w:r>
              <w:rPr>
                <w:rFonts w:hint="eastAsia" w:ascii="仿宋" w:hAnsi="仿宋" w:eastAsia="仿宋" w:cs="宋体"/>
                <w:sz w:val="24"/>
                <w:lang w:val="en-US" w:eastAsia="zh-CN"/>
              </w:rPr>
              <w:t>年</w:t>
            </w:r>
            <w:r>
              <w:rPr>
                <w:rFonts w:hint="eastAsia" w:ascii="仿宋" w:hAnsi="仿宋" w:eastAsia="仿宋" w:cs="宋体"/>
                <w:sz w:val="24"/>
                <w:highlight w:val="none"/>
              </w:rPr>
              <w:t>（2023年-2025年度），</w:t>
            </w:r>
            <w:r>
              <w:rPr>
                <w:rFonts w:hint="eastAsia" w:ascii="仿宋" w:hAnsi="仿宋" w:eastAsia="仿宋" w:cs="宋体"/>
                <w:sz w:val="24"/>
              </w:rPr>
              <w:t>投标人在六安市辖内与二级以上（含二级医院）医院有合作医疗责任保险业绩，投标截止日该业绩仍在履约期内或者已经履约完成的，每提供一份得</w:t>
            </w:r>
            <w:r>
              <w:rPr>
                <w:rFonts w:hint="eastAsia" w:ascii="仿宋" w:hAnsi="仿宋" w:eastAsia="仿宋" w:cs="宋体"/>
                <w:sz w:val="24"/>
                <w:highlight w:val="none"/>
                <w:lang w:val="en-US" w:eastAsia="zh-CN"/>
              </w:rPr>
              <w:t>2</w:t>
            </w:r>
            <w:r>
              <w:rPr>
                <w:rFonts w:hint="eastAsia" w:ascii="仿宋" w:hAnsi="仿宋" w:eastAsia="仿宋" w:cs="宋体"/>
                <w:sz w:val="24"/>
              </w:rPr>
              <w:t>分，最高得</w:t>
            </w:r>
            <w:r>
              <w:rPr>
                <w:rFonts w:hint="eastAsia" w:ascii="仿宋" w:hAnsi="仿宋" w:eastAsia="仿宋" w:cs="宋体"/>
                <w:sz w:val="24"/>
                <w:lang w:val="en-US" w:eastAsia="zh-CN"/>
              </w:rPr>
              <w:t>10</w:t>
            </w:r>
            <w:r>
              <w:rPr>
                <w:rFonts w:hint="eastAsia" w:ascii="仿宋" w:hAnsi="仿宋" w:eastAsia="仿宋" w:cs="宋体"/>
                <w:sz w:val="24"/>
              </w:rPr>
              <w:t>分。</w:t>
            </w:r>
          </w:p>
          <w:p>
            <w:pPr>
              <w:ind w:firstLine="480" w:firstLineChars="200"/>
              <w:rPr>
                <w:rFonts w:hint="eastAsia" w:ascii="仿宋" w:hAnsi="仿宋" w:eastAsia="仿宋" w:cs="宋体"/>
                <w:sz w:val="24"/>
              </w:rPr>
            </w:pPr>
            <w:r>
              <w:rPr>
                <w:rFonts w:hint="eastAsia" w:ascii="仿宋" w:hAnsi="仿宋" w:eastAsia="仿宋" w:cs="宋体"/>
                <w:sz w:val="24"/>
              </w:rPr>
              <w:t>投标人在六安市辖内与</w:t>
            </w:r>
            <w:r>
              <w:rPr>
                <w:rFonts w:hint="eastAsia" w:ascii="仿宋" w:hAnsi="仿宋" w:eastAsia="仿宋" w:cs="宋体"/>
                <w:sz w:val="24"/>
                <w:lang w:eastAsia="zh-CN"/>
              </w:rPr>
              <w:t>三</w:t>
            </w:r>
            <w:r>
              <w:rPr>
                <w:rFonts w:hint="eastAsia" w:ascii="仿宋" w:hAnsi="仿宋" w:eastAsia="仿宋" w:cs="宋体"/>
                <w:sz w:val="24"/>
              </w:rPr>
              <w:t>级医院有合作医疗责任保险业绩，每提供一份得</w:t>
            </w:r>
            <w:r>
              <w:rPr>
                <w:rFonts w:hint="eastAsia" w:ascii="仿宋" w:hAnsi="仿宋" w:eastAsia="仿宋" w:cs="宋体"/>
                <w:sz w:val="24"/>
                <w:lang w:val="en-US" w:eastAsia="zh-CN"/>
              </w:rPr>
              <w:t>5</w:t>
            </w:r>
            <w:r>
              <w:rPr>
                <w:rFonts w:hint="eastAsia" w:ascii="仿宋" w:hAnsi="仿宋" w:eastAsia="仿宋" w:cs="宋体"/>
                <w:sz w:val="24"/>
              </w:rPr>
              <w:t>分，最高得</w:t>
            </w:r>
            <w:r>
              <w:rPr>
                <w:rFonts w:hint="eastAsia" w:ascii="仿宋" w:hAnsi="仿宋" w:eastAsia="仿宋" w:cs="宋体"/>
                <w:sz w:val="24"/>
                <w:lang w:val="en-US" w:eastAsia="zh-CN"/>
              </w:rPr>
              <w:t>10</w:t>
            </w:r>
            <w:r>
              <w:rPr>
                <w:rFonts w:hint="eastAsia" w:ascii="仿宋" w:hAnsi="仿宋" w:eastAsia="仿宋" w:cs="宋体"/>
                <w:sz w:val="24"/>
              </w:rPr>
              <w:t>分。</w:t>
            </w:r>
          </w:p>
          <w:p>
            <w:pPr>
              <w:rPr>
                <w:rFonts w:hint="eastAsia" w:ascii="仿宋" w:hAnsi="仿宋" w:eastAsia="仿宋" w:cs="宋体"/>
                <w:sz w:val="24"/>
              </w:rPr>
            </w:pPr>
            <w:r>
              <w:rPr>
                <w:rFonts w:hint="eastAsia" w:ascii="仿宋" w:hAnsi="仿宋" w:eastAsia="仿宋" w:cs="宋体"/>
                <w:sz w:val="24"/>
              </w:rPr>
              <w:t>备注说明：</w:t>
            </w:r>
          </w:p>
          <w:p>
            <w:pPr>
              <w:rPr>
                <w:rFonts w:hint="eastAsia" w:ascii="仿宋" w:hAnsi="仿宋" w:eastAsia="仿宋" w:cs="宋体"/>
                <w:sz w:val="24"/>
              </w:rPr>
            </w:pPr>
            <w:r>
              <w:rPr>
                <w:rFonts w:hint="eastAsia" w:ascii="仿宋" w:hAnsi="仿宋" w:eastAsia="仿宋" w:cs="宋体"/>
                <w:sz w:val="24"/>
              </w:rPr>
              <w:t>1</w:t>
            </w:r>
            <w:r>
              <w:rPr>
                <w:rFonts w:hint="eastAsia" w:ascii="仿宋" w:hAnsi="仿宋" w:eastAsia="仿宋" w:cs="宋体"/>
                <w:sz w:val="24"/>
                <w:lang w:eastAsia="zh-CN"/>
              </w:rPr>
              <w:t>、</w:t>
            </w:r>
            <w:r>
              <w:rPr>
                <w:rFonts w:hint="eastAsia" w:ascii="仿宋" w:hAnsi="仿宋" w:eastAsia="仿宋" w:cs="宋体"/>
                <w:sz w:val="24"/>
              </w:rPr>
              <w:t>投标文件中须提供医疗责任险保单复印件（或保单抄件）加盖公章，原件备查。</w:t>
            </w:r>
          </w:p>
          <w:p>
            <w:pPr>
              <w:rPr>
                <w:rFonts w:hint="eastAsia" w:ascii="仿宋" w:hAnsi="仿宋" w:eastAsia="仿宋" w:cs="宋体"/>
                <w:kern w:val="2"/>
                <w:sz w:val="24"/>
                <w:szCs w:val="24"/>
                <w:lang w:val="en-US" w:eastAsia="zh-CN" w:bidi="ar-SA"/>
              </w:rPr>
            </w:pPr>
            <w:r>
              <w:rPr>
                <w:rFonts w:hint="eastAsia" w:ascii="仿宋" w:hAnsi="仿宋" w:eastAsia="仿宋" w:cs="宋体"/>
                <w:sz w:val="24"/>
              </w:rPr>
              <w:t>2、由评标专家根据保单进行评分。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8" w:hRule="exact"/>
          <w:jc w:val="center"/>
        </w:trPr>
        <w:tc>
          <w:tcPr>
            <w:tcW w:w="817" w:type="dxa"/>
            <w:vAlign w:val="center"/>
          </w:tcPr>
          <w:p>
            <w:pPr>
              <w:rPr>
                <w:rFonts w:hint="default" w:ascii="仿宋" w:hAnsi="仿宋" w:eastAsia="仿宋" w:cs="宋体"/>
                <w:kern w:val="2"/>
                <w:sz w:val="24"/>
                <w:szCs w:val="24"/>
                <w:lang w:val="en-US" w:eastAsia="zh-CN" w:bidi="ar-SA"/>
              </w:rPr>
            </w:pPr>
            <w:r>
              <w:rPr>
                <w:rFonts w:hint="eastAsia" w:ascii="仿宋" w:hAnsi="仿宋" w:eastAsia="仿宋" w:cs="宋体"/>
                <w:sz w:val="24"/>
              </w:rPr>
              <w:t>理赔经验</w:t>
            </w:r>
          </w:p>
        </w:tc>
        <w:tc>
          <w:tcPr>
            <w:tcW w:w="696" w:type="dxa"/>
            <w:vAlign w:val="center"/>
          </w:tcPr>
          <w:p>
            <w:pPr>
              <w:rPr>
                <w:rFonts w:hint="default" w:ascii="仿宋" w:hAnsi="仿宋" w:eastAsia="仿宋" w:cs="宋体"/>
                <w:kern w:val="2"/>
                <w:sz w:val="24"/>
                <w:szCs w:val="24"/>
                <w:lang w:val="en-US" w:eastAsia="zh-CN" w:bidi="ar-SA"/>
              </w:rPr>
            </w:pPr>
            <w:r>
              <w:rPr>
                <w:rFonts w:hint="eastAsia" w:ascii="仿宋" w:hAnsi="仿宋" w:eastAsia="仿宋" w:cs="宋体"/>
                <w:sz w:val="24"/>
              </w:rPr>
              <w:t>15分</w:t>
            </w:r>
          </w:p>
        </w:tc>
        <w:tc>
          <w:tcPr>
            <w:tcW w:w="7512" w:type="dxa"/>
            <w:vAlign w:val="center"/>
          </w:tcPr>
          <w:p>
            <w:pPr>
              <w:ind w:firstLine="480" w:firstLineChars="200"/>
              <w:rPr>
                <w:rFonts w:hint="eastAsia" w:ascii="仿宋" w:hAnsi="仿宋" w:eastAsia="仿宋" w:cs="宋体"/>
                <w:kern w:val="2"/>
                <w:sz w:val="24"/>
                <w:szCs w:val="24"/>
                <w:lang w:val="en-US" w:eastAsia="zh-CN" w:bidi="ar-SA"/>
              </w:rPr>
            </w:pPr>
            <w:r>
              <w:rPr>
                <w:rFonts w:hint="eastAsia" w:ascii="仿宋" w:hAnsi="仿宋" w:eastAsia="仿宋" w:cs="宋体"/>
                <w:sz w:val="24"/>
              </w:rPr>
              <w:t>提供</w:t>
            </w:r>
            <w:r>
              <w:rPr>
                <w:rFonts w:hint="eastAsia" w:ascii="仿宋" w:hAnsi="仿宋" w:eastAsia="仿宋" w:cs="宋体"/>
                <w:sz w:val="24"/>
                <w:lang w:eastAsia="zh-CN"/>
              </w:rPr>
              <w:t>近三年</w:t>
            </w:r>
            <w:r>
              <w:rPr>
                <w:rFonts w:hint="eastAsia" w:ascii="仿宋" w:hAnsi="仿宋" w:eastAsia="仿宋" w:cs="宋体"/>
                <w:sz w:val="24"/>
                <w:highlight w:val="none"/>
              </w:rPr>
              <w:t>（2023年-2025年度）</w:t>
            </w:r>
            <w:r>
              <w:rPr>
                <w:rFonts w:hint="eastAsia" w:ascii="仿宋" w:hAnsi="仿宋" w:eastAsia="仿宋" w:cs="宋体"/>
                <w:sz w:val="24"/>
                <w:highlight w:val="none"/>
                <w:lang w:val="en-US" w:eastAsia="zh-CN"/>
              </w:rPr>
              <w:t>,</w:t>
            </w:r>
            <w:r>
              <w:rPr>
                <w:rFonts w:hint="eastAsia" w:ascii="仿宋" w:hAnsi="仿宋" w:eastAsia="仿宋" w:cs="宋体"/>
                <w:sz w:val="24"/>
              </w:rPr>
              <w:t>六安市辖内理赔成功的案例，</w:t>
            </w:r>
            <w:r>
              <w:rPr>
                <w:rFonts w:hint="eastAsia" w:ascii="仿宋" w:hAnsi="仿宋" w:eastAsia="仿宋" w:cs="宋体"/>
                <w:sz w:val="24"/>
                <w:lang w:val="en-US" w:eastAsia="zh-CN"/>
              </w:rPr>
              <w:t>赔款金额大于1万元以上的案件,</w:t>
            </w:r>
            <w:r>
              <w:rPr>
                <w:rFonts w:hint="eastAsia" w:ascii="仿宋" w:hAnsi="仿宋" w:eastAsia="仿宋" w:cs="宋体"/>
                <w:sz w:val="24"/>
              </w:rPr>
              <w:t>由评标专家按照理赔案例情况进行评分。一般得1-5分，良好得6-10分，优秀得11-15分。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6" w:hRule="exact"/>
          <w:jc w:val="center"/>
        </w:trPr>
        <w:tc>
          <w:tcPr>
            <w:tcW w:w="817" w:type="dxa"/>
            <w:vAlign w:val="center"/>
          </w:tcPr>
          <w:p>
            <w:pPr>
              <w:rPr>
                <w:rFonts w:hint="eastAsia" w:ascii="仿宋" w:hAnsi="仿宋" w:eastAsia="仿宋" w:cs="宋体"/>
                <w:sz w:val="24"/>
              </w:rPr>
            </w:pPr>
            <w:r>
              <w:rPr>
                <w:rFonts w:hint="eastAsia" w:ascii="仿宋" w:hAnsi="仿宋" w:eastAsia="仿宋" w:cs="宋体"/>
                <w:sz w:val="24"/>
              </w:rPr>
              <w:t>服务能力</w:t>
            </w:r>
          </w:p>
        </w:tc>
        <w:tc>
          <w:tcPr>
            <w:tcW w:w="696" w:type="dxa"/>
            <w:vAlign w:val="center"/>
          </w:tcPr>
          <w:p>
            <w:pPr>
              <w:rPr>
                <w:rFonts w:hint="eastAsia" w:ascii="仿宋" w:hAnsi="仿宋" w:eastAsia="仿宋" w:cs="宋体"/>
                <w:sz w:val="24"/>
              </w:rPr>
            </w:pPr>
            <w:r>
              <w:rPr>
                <w:rFonts w:hint="eastAsia" w:ascii="仿宋" w:hAnsi="仿宋" w:eastAsia="仿宋" w:cs="宋体"/>
                <w:sz w:val="24"/>
                <w:lang w:val="en-US" w:eastAsia="zh-CN"/>
              </w:rPr>
              <w:t>10</w:t>
            </w:r>
            <w:r>
              <w:rPr>
                <w:rFonts w:hint="eastAsia" w:ascii="仿宋" w:hAnsi="仿宋" w:eastAsia="仿宋" w:cs="宋体"/>
                <w:sz w:val="24"/>
              </w:rPr>
              <w:t>分</w:t>
            </w:r>
          </w:p>
        </w:tc>
        <w:tc>
          <w:tcPr>
            <w:tcW w:w="7512" w:type="dxa"/>
            <w:vAlign w:val="center"/>
          </w:tcPr>
          <w:p>
            <w:pPr>
              <w:ind w:firstLine="240" w:firstLineChars="100"/>
              <w:rPr>
                <w:rFonts w:hint="eastAsia" w:ascii="仿宋" w:hAnsi="仿宋" w:eastAsia="仿宋" w:cs="宋体"/>
                <w:sz w:val="24"/>
              </w:rPr>
            </w:pPr>
            <w:r>
              <w:rPr>
                <w:rFonts w:hint="eastAsia" w:ascii="仿宋" w:hAnsi="仿宋" w:eastAsia="仿宋" w:cs="宋体"/>
                <w:sz w:val="24"/>
              </w:rPr>
              <w:t>配备医疗责任险专业理赔团队，</w:t>
            </w:r>
            <w:r>
              <w:rPr>
                <w:rFonts w:hint="eastAsia" w:ascii="仿宋" w:hAnsi="仿宋" w:eastAsia="仿宋" w:cs="宋体"/>
                <w:sz w:val="24"/>
                <w:highlight w:val="none"/>
                <w:lang w:eastAsia="zh-CN"/>
              </w:rPr>
              <w:t>配备具有医学背景的专家团队（中级职称以上）</w:t>
            </w:r>
            <w:r>
              <w:rPr>
                <w:rFonts w:hint="eastAsia" w:ascii="仿宋" w:hAnsi="仿宋" w:eastAsia="仿宋" w:cs="宋体"/>
                <w:sz w:val="24"/>
              </w:rPr>
              <w:t xml:space="preserve">，具有初级及以上专业 技术职称证书的每提供 1 人得 </w:t>
            </w:r>
            <w:r>
              <w:rPr>
                <w:rFonts w:hint="eastAsia" w:ascii="仿宋" w:hAnsi="仿宋" w:eastAsia="仿宋" w:cs="宋体"/>
                <w:sz w:val="24"/>
                <w:lang w:val="en-US" w:eastAsia="zh-CN"/>
              </w:rPr>
              <w:t>2</w:t>
            </w:r>
            <w:r>
              <w:rPr>
                <w:rFonts w:hint="eastAsia" w:ascii="仿宋" w:hAnsi="仿宋" w:eastAsia="仿宋" w:cs="宋体"/>
                <w:sz w:val="24"/>
              </w:rPr>
              <w:t xml:space="preserve"> 分，本项最高得 </w:t>
            </w:r>
            <w:r>
              <w:rPr>
                <w:rFonts w:hint="eastAsia" w:ascii="仿宋" w:hAnsi="仿宋" w:eastAsia="仿宋" w:cs="宋体"/>
                <w:sz w:val="24"/>
                <w:lang w:val="en-US" w:eastAsia="zh-CN"/>
              </w:rPr>
              <w:t>10</w:t>
            </w:r>
            <w:r>
              <w:rPr>
                <w:rFonts w:hint="eastAsia" w:ascii="仿宋" w:hAnsi="仿宋" w:eastAsia="仿宋" w:cs="宋体"/>
                <w:sz w:val="24"/>
              </w:rPr>
              <w:t xml:space="preserve"> 分。</w:t>
            </w:r>
          </w:p>
          <w:p>
            <w:pPr>
              <w:rPr>
                <w:rFonts w:hint="eastAsia" w:ascii="仿宋" w:hAnsi="仿宋" w:eastAsia="仿宋" w:cs="宋体"/>
                <w:sz w:val="24"/>
              </w:rPr>
            </w:pPr>
            <w:r>
              <w:rPr>
                <w:rFonts w:hint="eastAsia" w:ascii="仿宋" w:hAnsi="仿宋" w:eastAsia="仿宋" w:cs="宋体"/>
                <w:sz w:val="24"/>
              </w:rPr>
              <w:t>注：上述人员须为供应商或其辖内所有分支机构人员（劳务派遣制人员不认可） ，投标文件 中提供人员配备名单（格式自拟）、初级及以上 专业技术职称证书原件扫描件。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exact"/>
          <w:jc w:val="center"/>
        </w:trPr>
        <w:tc>
          <w:tcPr>
            <w:tcW w:w="817" w:type="dxa"/>
            <w:vAlign w:val="center"/>
          </w:tcPr>
          <w:p>
            <w:pPr>
              <w:rPr>
                <w:rFonts w:hint="eastAsia" w:ascii="仿宋" w:hAnsi="仿宋" w:eastAsia="仿宋" w:cs="宋体"/>
                <w:sz w:val="24"/>
              </w:rPr>
            </w:pPr>
            <w:r>
              <w:rPr>
                <w:rFonts w:hint="eastAsia" w:ascii="仿宋" w:hAnsi="仿宋" w:eastAsia="仿宋" w:cs="宋体"/>
                <w:sz w:val="24"/>
              </w:rPr>
              <w:t>医疗纠纷协调解决方案</w:t>
            </w:r>
          </w:p>
        </w:tc>
        <w:tc>
          <w:tcPr>
            <w:tcW w:w="696" w:type="dxa"/>
            <w:vAlign w:val="center"/>
          </w:tcPr>
          <w:p>
            <w:pPr>
              <w:rPr>
                <w:rFonts w:hint="eastAsia" w:ascii="仿宋" w:hAnsi="仿宋" w:eastAsia="仿宋" w:cs="宋体"/>
                <w:sz w:val="24"/>
              </w:rPr>
            </w:pPr>
            <w:r>
              <w:rPr>
                <w:rFonts w:hint="eastAsia" w:ascii="仿宋" w:hAnsi="仿宋" w:eastAsia="仿宋" w:cs="宋体"/>
                <w:sz w:val="24"/>
                <w:lang w:val="en-US" w:eastAsia="zh-CN"/>
              </w:rPr>
              <w:t>10</w:t>
            </w:r>
            <w:r>
              <w:rPr>
                <w:rFonts w:hint="eastAsia" w:ascii="仿宋" w:hAnsi="仿宋" w:eastAsia="仿宋" w:cs="宋体"/>
                <w:sz w:val="24"/>
              </w:rPr>
              <w:t>分</w:t>
            </w:r>
          </w:p>
        </w:tc>
        <w:tc>
          <w:tcPr>
            <w:tcW w:w="7512" w:type="dxa"/>
            <w:vAlign w:val="center"/>
          </w:tcPr>
          <w:p>
            <w:pPr>
              <w:rPr>
                <w:rFonts w:hint="eastAsia" w:ascii="仿宋" w:hAnsi="仿宋" w:eastAsia="仿宋" w:cs="宋体"/>
                <w:sz w:val="24"/>
              </w:rPr>
            </w:pPr>
            <w:r>
              <w:rPr>
                <w:rFonts w:hint="eastAsia" w:ascii="仿宋" w:hAnsi="仿宋" w:eastAsia="仿宋" w:cs="宋体"/>
                <w:sz w:val="24"/>
              </w:rPr>
              <w:t>1、建立医疗纠纷调解会商机制并有具体的会商方案。（1-</w:t>
            </w:r>
            <w:r>
              <w:rPr>
                <w:rFonts w:hint="eastAsia" w:ascii="仿宋" w:hAnsi="仿宋" w:eastAsia="仿宋" w:cs="宋体"/>
                <w:sz w:val="24"/>
                <w:lang w:val="en-US" w:eastAsia="zh-CN"/>
              </w:rPr>
              <w:t>5</w:t>
            </w:r>
            <w:r>
              <w:rPr>
                <w:rFonts w:hint="eastAsia" w:ascii="仿宋" w:hAnsi="仿宋" w:eastAsia="仿宋" w:cs="宋体"/>
                <w:sz w:val="24"/>
              </w:rPr>
              <w:t>分）</w:t>
            </w:r>
          </w:p>
          <w:p>
            <w:pPr>
              <w:rPr>
                <w:rFonts w:hint="eastAsia" w:ascii="仿宋" w:hAnsi="仿宋" w:eastAsia="仿宋" w:cs="宋体"/>
                <w:sz w:val="24"/>
              </w:rPr>
            </w:pPr>
            <w:r>
              <w:rPr>
                <w:rFonts w:hint="eastAsia" w:ascii="仿宋" w:hAnsi="仿宋" w:eastAsia="仿宋" w:cs="宋体"/>
                <w:sz w:val="24"/>
              </w:rPr>
              <w:t>2、发生医疗纠纷调解案件后，院方意见的采纳情况、案件会商协同办理情况、赔款便捷支付方式情况等有明确细致书面承诺的且便于院方实际操作。（1-</w:t>
            </w:r>
            <w:r>
              <w:rPr>
                <w:rFonts w:hint="eastAsia" w:ascii="仿宋" w:hAnsi="仿宋" w:eastAsia="仿宋" w:cs="宋体"/>
                <w:sz w:val="24"/>
                <w:lang w:val="en-US" w:eastAsia="zh-CN"/>
              </w:rPr>
              <w:t>5</w:t>
            </w:r>
            <w:r>
              <w:rPr>
                <w:rFonts w:hint="eastAsia" w:ascii="仿宋" w:hAnsi="仿宋" w:eastAsia="仿宋" w:cs="宋体"/>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exact"/>
          <w:jc w:val="center"/>
        </w:trPr>
        <w:tc>
          <w:tcPr>
            <w:tcW w:w="817" w:type="dxa"/>
            <w:vAlign w:val="center"/>
          </w:tcPr>
          <w:p>
            <w:pPr>
              <w:rPr>
                <w:rFonts w:hint="eastAsia" w:ascii="仿宋" w:hAnsi="仿宋" w:eastAsia="仿宋" w:cs="宋体"/>
                <w:kern w:val="2"/>
                <w:sz w:val="24"/>
                <w:szCs w:val="24"/>
                <w:lang w:val="en-US" w:eastAsia="zh-CN" w:bidi="ar-SA"/>
              </w:rPr>
            </w:pPr>
            <w:r>
              <w:rPr>
                <w:rFonts w:hint="eastAsia" w:ascii="仿宋" w:hAnsi="仿宋" w:eastAsia="仿宋" w:cs="宋体"/>
                <w:sz w:val="24"/>
              </w:rPr>
              <w:t>风险综合评级</w:t>
            </w:r>
          </w:p>
        </w:tc>
        <w:tc>
          <w:tcPr>
            <w:tcW w:w="696" w:type="dxa"/>
            <w:vAlign w:val="center"/>
          </w:tcPr>
          <w:p>
            <w:pPr>
              <w:rPr>
                <w:rFonts w:hint="eastAsia" w:ascii="仿宋" w:hAnsi="仿宋" w:eastAsia="仿宋" w:cs="宋体"/>
                <w:kern w:val="2"/>
                <w:sz w:val="24"/>
                <w:szCs w:val="24"/>
                <w:lang w:val="en-US" w:eastAsia="zh-CN" w:bidi="ar-SA"/>
              </w:rPr>
            </w:pPr>
            <w:r>
              <w:rPr>
                <w:rFonts w:hint="eastAsia" w:ascii="仿宋" w:hAnsi="仿宋" w:eastAsia="仿宋" w:cs="宋体"/>
                <w:sz w:val="24"/>
              </w:rPr>
              <w:t>1</w:t>
            </w:r>
            <w:r>
              <w:rPr>
                <w:rFonts w:hint="eastAsia" w:ascii="仿宋" w:hAnsi="仿宋" w:eastAsia="仿宋" w:cs="宋体"/>
                <w:sz w:val="24"/>
                <w:lang w:val="en-US" w:eastAsia="zh-CN"/>
              </w:rPr>
              <w:t>5</w:t>
            </w:r>
            <w:r>
              <w:rPr>
                <w:rFonts w:hint="eastAsia" w:ascii="仿宋" w:hAnsi="仿宋" w:eastAsia="仿宋" w:cs="宋体"/>
                <w:sz w:val="24"/>
              </w:rPr>
              <w:t>分</w:t>
            </w:r>
          </w:p>
        </w:tc>
        <w:tc>
          <w:tcPr>
            <w:tcW w:w="7512" w:type="dxa"/>
            <w:vAlign w:val="center"/>
          </w:tcPr>
          <w:p>
            <w:pPr>
              <w:rPr>
                <w:rFonts w:hint="eastAsia" w:ascii="仿宋" w:hAnsi="仿宋" w:eastAsia="仿宋" w:cs="宋体"/>
                <w:kern w:val="0"/>
                <w:sz w:val="24"/>
              </w:rPr>
            </w:pPr>
            <w:r>
              <w:rPr>
                <w:rFonts w:hint="eastAsia" w:ascii="仿宋" w:hAnsi="仿宋" w:eastAsia="仿宋" w:cs="宋体"/>
                <w:kern w:val="0"/>
                <w:sz w:val="24"/>
              </w:rPr>
              <w:t>根据独立法人资格的保险公司自2024年度第一季度起的季度风险综合评级评分:每获得一次B及以上评级的得5分</w:t>
            </w:r>
            <w:r>
              <w:rPr>
                <w:rFonts w:hint="eastAsia" w:ascii="仿宋" w:hAnsi="仿宋" w:eastAsia="仿宋" w:cs="宋体"/>
                <w:kern w:val="0"/>
                <w:sz w:val="24"/>
                <w:lang w:eastAsia="zh-CN"/>
              </w:rPr>
              <w:t>。</w:t>
            </w:r>
            <w:r>
              <w:rPr>
                <w:rFonts w:hint="eastAsia" w:ascii="仿宋" w:hAnsi="仿宋" w:eastAsia="仿宋" w:cs="宋体"/>
                <w:kern w:val="0"/>
                <w:sz w:val="24"/>
              </w:rPr>
              <w:t>满分</w:t>
            </w:r>
            <w:r>
              <w:rPr>
                <w:rFonts w:hint="eastAsia" w:ascii="仿宋" w:hAnsi="仿宋" w:eastAsia="仿宋" w:cs="宋体"/>
                <w:kern w:val="0"/>
                <w:sz w:val="24"/>
                <w:lang w:val="en-US" w:eastAsia="zh-CN"/>
              </w:rPr>
              <w:t>15</w:t>
            </w:r>
            <w:r>
              <w:rPr>
                <w:rFonts w:hint="eastAsia" w:ascii="仿宋" w:hAnsi="仿宋" w:eastAsia="仿宋" w:cs="宋体"/>
                <w:kern w:val="0"/>
                <w:sz w:val="24"/>
              </w:rPr>
              <w:t>分。</w:t>
            </w:r>
          </w:p>
          <w:p>
            <w:pPr>
              <w:rPr>
                <w:rFonts w:hint="eastAsia" w:ascii="仿宋" w:hAnsi="仿宋" w:eastAsia="仿宋" w:cs="宋体"/>
                <w:kern w:val="0"/>
                <w:sz w:val="24"/>
                <w:szCs w:val="24"/>
                <w:lang w:val="en-US" w:eastAsia="zh-CN" w:bidi="ar-SA"/>
              </w:rPr>
            </w:pPr>
            <w:r>
              <w:rPr>
                <w:rFonts w:hint="eastAsia" w:ascii="仿宋" w:hAnsi="仿宋" w:eastAsia="仿宋" w:cs="宋体"/>
                <w:kern w:val="0"/>
                <w:sz w:val="24"/>
              </w:rPr>
              <w:t>注:响应文件中提供中国银保监会偿二代监管信息系统中独立法人资格的保险公司风险综合评级结果截图并加盖供应商公章。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exact"/>
          <w:jc w:val="center"/>
        </w:trPr>
        <w:tc>
          <w:tcPr>
            <w:tcW w:w="817" w:type="dxa"/>
            <w:vAlign w:val="center"/>
          </w:tcPr>
          <w:p>
            <w:pPr>
              <w:rPr>
                <w:rFonts w:hint="eastAsia" w:ascii="仿宋" w:hAnsi="仿宋" w:eastAsia="仿宋" w:cs="宋体"/>
                <w:kern w:val="2"/>
                <w:sz w:val="24"/>
                <w:szCs w:val="24"/>
                <w:highlight w:val="none"/>
                <w:lang w:val="en-US" w:eastAsia="zh-CN" w:bidi="ar-SA"/>
              </w:rPr>
            </w:pPr>
            <w:r>
              <w:rPr>
                <w:rFonts w:hint="default" w:ascii="仿宋" w:hAnsi="仿宋" w:eastAsia="仿宋" w:cs="宋体"/>
                <w:sz w:val="24"/>
                <w:highlight w:val="none"/>
                <w:lang w:val="en-US" w:eastAsia="zh-CN"/>
              </w:rPr>
              <w:t>综合偿付能力充足率</w:t>
            </w:r>
          </w:p>
        </w:tc>
        <w:tc>
          <w:tcPr>
            <w:tcW w:w="696" w:type="dxa"/>
            <w:vAlign w:val="center"/>
          </w:tcPr>
          <w:p>
            <w:pPr>
              <w:rPr>
                <w:rFonts w:hint="eastAsia" w:ascii="仿宋" w:hAnsi="仿宋" w:eastAsia="仿宋" w:cs="宋体"/>
                <w:kern w:val="2"/>
                <w:sz w:val="24"/>
                <w:szCs w:val="24"/>
                <w:lang w:val="en-US" w:eastAsia="zh-CN" w:bidi="ar-SA"/>
              </w:rPr>
            </w:pPr>
            <w:r>
              <w:rPr>
                <w:rFonts w:hint="eastAsia" w:ascii="仿宋" w:hAnsi="仿宋" w:eastAsia="仿宋" w:cs="宋体"/>
                <w:sz w:val="24"/>
                <w:lang w:val="en-US" w:eastAsia="zh-CN"/>
              </w:rPr>
              <w:t>15分</w:t>
            </w:r>
          </w:p>
        </w:tc>
        <w:tc>
          <w:tcPr>
            <w:tcW w:w="7512" w:type="dxa"/>
            <w:vAlign w:val="center"/>
          </w:tcPr>
          <w:p>
            <w:pPr>
              <w:rPr>
                <w:rFonts w:hint="eastAsia" w:ascii="仿宋" w:hAnsi="仿宋" w:eastAsia="仿宋" w:cs="宋体"/>
                <w:sz w:val="24"/>
                <w:highlight w:val="none"/>
              </w:rPr>
            </w:pPr>
            <w:r>
              <w:rPr>
                <w:rFonts w:hint="eastAsia" w:ascii="仿宋" w:hAnsi="仿宋" w:eastAsia="仿宋" w:cs="宋体"/>
                <w:sz w:val="24"/>
                <w:highlight w:val="none"/>
              </w:rPr>
              <w:t>近三年（2023年-2025年度）</w:t>
            </w:r>
            <w:r>
              <w:rPr>
                <w:rFonts w:hint="eastAsia" w:ascii="仿宋" w:hAnsi="仿宋" w:eastAsia="仿宋" w:cs="宋体"/>
                <w:sz w:val="24"/>
                <w:highlight w:val="none"/>
                <w:lang w:val="en-US" w:eastAsia="zh-CN"/>
              </w:rPr>
              <w:t>每年平均核心偿付能力充足率≥200%，得 5 分；150%≤核心偿付能力充足率＜200%，得3分；100%≤核心偿付能力充足率＜150%，得1分。</w:t>
            </w:r>
            <w:r>
              <w:rPr>
                <w:rFonts w:hint="eastAsia" w:ascii="仿宋" w:hAnsi="仿宋" w:eastAsia="仿宋" w:cs="宋体"/>
                <w:sz w:val="24"/>
                <w:highlight w:val="none"/>
              </w:rPr>
              <w:t>本项满分</w:t>
            </w:r>
            <w:r>
              <w:rPr>
                <w:rFonts w:hint="eastAsia" w:ascii="仿宋" w:hAnsi="仿宋" w:eastAsia="仿宋" w:cs="宋体"/>
                <w:sz w:val="24"/>
                <w:highlight w:val="none"/>
                <w:lang w:val="en-US" w:eastAsia="zh-CN"/>
              </w:rPr>
              <w:t>1</w:t>
            </w:r>
            <w:r>
              <w:rPr>
                <w:rFonts w:hint="eastAsia" w:ascii="仿宋" w:hAnsi="仿宋" w:eastAsia="仿宋" w:cs="宋体"/>
                <w:sz w:val="24"/>
                <w:highlight w:val="none"/>
              </w:rPr>
              <w:t>5分。</w:t>
            </w:r>
          </w:p>
          <w:p>
            <w:pPr>
              <w:rPr>
                <w:rFonts w:hint="eastAsia" w:ascii="仿宋" w:hAnsi="仿宋" w:eastAsia="仿宋" w:cs="宋体"/>
                <w:kern w:val="2"/>
                <w:sz w:val="24"/>
                <w:szCs w:val="24"/>
                <w:lang w:val="en-US" w:eastAsia="zh-CN" w:bidi="ar-SA"/>
              </w:rPr>
            </w:pPr>
            <w:r>
              <w:rPr>
                <w:rFonts w:hint="eastAsia" w:ascii="仿宋" w:hAnsi="仿宋" w:eastAsia="仿宋" w:cs="宋体"/>
                <w:sz w:val="24"/>
              </w:rPr>
              <w:t>注：独立法人资格的保险公司或其分支机构参加采购的，均需在响应文件中提供其具备独立法人资格保险公司的近三年（2023—2025年度）信息披露报告截图复印件及三年综合偿付能力充足率汇总表并加盖供应商公章。</w:t>
            </w:r>
          </w:p>
        </w:tc>
      </w:tr>
    </w:tbl>
    <w:p>
      <w:pPr>
        <w:rPr>
          <w:rFonts w:hint="eastAsia" w:ascii="仿宋" w:hAnsi="仿宋" w:eastAsia="仿宋" w:cs="宋体"/>
          <w:sz w:val="24"/>
        </w:rPr>
      </w:pPr>
    </w:p>
    <w:p>
      <w:pPr>
        <w:rPr>
          <w:rFonts w:hint="eastAsia" w:ascii="仿宋" w:hAnsi="仿宋" w:eastAsia="仿宋" w:cs="宋体"/>
          <w:sz w:val="24"/>
        </w:rPr>
      </w:pPr>
    </w:p>
    <w:p>
      <w:pPr>
        <w:rPr>
          <w:rFonts w:ascii="仿宋" w:hAnsi="仿宋" w:eastAsia="仿宋"/>
        </w:rPr>
      </w:pPr>
      <w:bookmarkStart w:id="5" w:name="_GoBack"/>
      <w:bookmarkEnd w:id="5"/>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B29"/>
    <w:rsid w:val="00493DE5"/>
    <w:rsid w:val="00833B29"/>
    <w:rsid w:val="00C97900"/>
    <w:rsid w:val="00D021E8"/>
    <w:rsid w:val="034E33D1"/>
    <w:rsid w:val="06474F59"/>
    <w:rsid w:val="09684147"/>
    <w:rsid w:val="0F976B3D"/>
    <w:rsid w:val="12C8715D"/>
    <w:rsid w:val="18FC27B3"/>
    <w:rsid w:val="1CFD009B"/>
    <w:rsid w:val="1EB35CA2"/>
    <w:rsid w:val="1FAD4807"/>
    <w:rsid w:val="223720B1"/>
    <w:rsid w:val="2A5D3240"/>
    <w:rsid w:val="2BE47802"/>
    <w:rsid w:val="374C6AA7"/>
    <w:rsid w:val="383C7DCF"/>
    <w:rsid w:val="3ADC1612"/>
    <w:rsid w:val="42D71F3D"/>
    <w:rsid w:val="4BE74C7F"/>
    <w:rsid w:val="4BEF2CA4"/>
    <w:rsid w:val="5DD97B72"/>
    <w:rsid w:val="655817B9"/>
    <w:rsid w:val="6CDB01AE"/>
    <w:rsid w:val="72403F4A"/>
    <w:rsid w:val="7D9B66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10"/>
    <w:qFormat/>
    <w:uiPriority w:val="9"/>
    <w:pPr>
      <w:keepNext/>
      <w:keepLines/>
      <w:spacing w:before="260" w:after="260" w:line="416" w:lineRule="atLeast"/>
      <w:outlineLvl w:val="1"/>
    </w:pPr>
    <w:rPr>
      <w:rFonts w:ascii="Cambria" w:hAnsi="Cambria"/>
      <w:b/>
      <w:bCs/>
      <w:sz w:val="32"/>
      <w:szCs w:val="32"/>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character" w:customStyle="1" w:styleId="10">
    <w:name w:val="标题 2 Char"/>
    <w:basedOn w:val="7"/>
    <w:link w:val="2"/>
    <w:qFormat/>
    <w:uiPriority w:val="9"/>
    <w:rPr>
      <w:rFonts w:ascii="Cambria" w:hAnsi="Cambria" w:eastAsia="宋体" w:cs="Times New Roman"/>
      <w:b/>
      <w:bCs/>
      <w:sz w:val="32"/>
      <w:szCs w:val="32"/>
    </w:rPr>
  </w:style>
  <w:style w:type="table" w:customStyle="1" w:styleId="1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883</Words>
  <Characters>912</Characters>
  <Lines>6</Lines>
  <Paragraphs>1</Paragraphs>
  <TotalTime>1</TotalTime>
  <ScaleCrop>false</ScaleCrop>
  <LinksUpToDate>false</LinksUpToDate>
  <CharactersWithSpaces>913</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2021-05-19T09:19:00Z</dcterms:created>
  <dc:creator>郭  磊</dc:creator>
  <cp:lastModifiedBy>picc</cp:lastModifiedBy>
  <dcterms:modified xsi:type="dcterms:W3CDTF">2026-05-21T02:19:05Z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BA2B522E7EC24FDE9F6FEEC572D923EA</vt:lpwstr>
  </property>
  <property fmtid="{D5CDD505-2E9C-101B-9397-08002B2CF9AE}" pid="4" name="KSOTemplateDocerSaveRecord">
    <vt:lpwstr>eyJoZGlkIjoiNzY0MWI2OWMwMzc0ZDAwYmRmNjBiNTVjN2IzYjAzZmQiLCJ1c2VySWQiOiIzNTExODc0In0=</vt:lpwstr>
  </property>
</Properties>
</file>